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B4" w:rsidRDefault="001E67B4" w:rsidP="001E67B4">
      <w:pPr>
        <w:rPr>
          <w:b/>
        </w:rPr>
      </w:pPr>
      <w:r>
        <w:rPr>
          <w:b/>
          <w:noProof/>
        </w:rPr>
        <w:drawing>
          <wp:anchor distT="0" distB="0" distL="114300" distR="114300" simplePos="0" relativeHeight="251659264" behindDoc="0" locked="0" layoutInCell="1" allowOverlap="1">
            <wp:simplePos x="0" y="0"/>
            <wp:positionH relativeFrom="column">
              <wp:posOffset>6819900</wp:posOffset>
            </wp:positionH>
            <wp:positionV relativeFrom="paragraph">
              <wp:posOffset>-200025</wp:posOffset>
            </wp:positionV>
            <wp:extent cx="1590675" cy="695325"/>
            <wp:effectExtent l="19050" t="0" r="9525" b="0"/>
            <wp:wrapNone/>
            <wp:docPr id="3" name="Picture 1"/>
            <wp:cNvGraphicFramePr/>
            <a:graphic xmlns:a="http://schemas.openxmlformats.org/drawingml/2006/main">
              <a:graphicData uri="http://schemas.openxmlformats.org/drawingml/2006/picture">
                <pic:pic xmlns:pic="http://schemas.openxmlformats.org/drawingml/2006/picture">
                  <pic:nvPicPr>
                    <pic:cNvPr id="1026" name="Picture 1" descr="cpfcolorthumb.JPG"/>
                    <pic:cNvPicPr>
                      <a:picLocks noChangeAspect="1"/>
                    </pic:cNvPicPr>
                  </pic:nvPicPr>
                  <pic:blipFill>
                    <a:blip r:embed="rId8" cstate="print"/>
                    <a:srcRect/>
                    <a:stretch>
                      <a:fillRect/>
                    </a:stretch>
                  </pic:blipFill>
                  <pic:spPr bwMode="auto">
                    <a:xfrm>
                      <a:off x="0" y="0"/>
                      <a:ext cx="1590675" cy="695325"/>
                    </a:xfrm>
                    <a:prstGeom prst="rect">
                      <a:avLst/>
                    </a:prstGeom>
                    <a:noFill/>
                    <a:ln w="9525">
                      <a:noFill/>
                      <a:miter lim="800000"/>
                      <a:headEnd/>
                      <a:tailEnd/>
                    </a:ln>
                  </pic:spPr>
                </pic:pic>
              </a:graphicData>
            </a:graphic>
          </wp:anchor>
        </w:drawing>
      </w:r>
    </w:p>
    <w:p w:rsidR="001E67B4" w:rsidRDefault="001E67B4" w:rsidP="001E67B4">
      <w:pPr>
        <w:rPr>
          <w:b/>
        </w:rPr>
      </w:pPr>
    </w:p>
    <w:p w:rsidR="00DB2143" w:rsidRDefault="00DB2143" w:rsidP="00DB2143">
      <w:pPr>
        <w:rPr>
          <w:b/>
        </w:rPr>
      </w:pPr>
    </w:p>
    <w:p w:rsidR="002C120B" w:rsidRPr="002C120B" w:rsidRDefault="003D5B06" w:rsidP="00DB2143">
      <w:pPr>
        <w:jc w:val="center"/>
        <w:rPr>
          <w:b/>
          <w:sz w:val="28"/>
          <w:szCs w:val="28"/>
        </w:rPr>
      </w:pPr>
      <w:r>
        <w:rPr>
          <w:b/>
          <w:sz w:val="28"/>
          <w:szCs w:val="28"/>
        </w:rPr>
        <w:t>September</w:t>
      </w:r>
      <w:r w:rsidR="00794EA9">
        <w:rPr>
          <w:b/>
          <w:sz w:val="28"/>
          <w:szCs w:val="28"/>
        </w:rPr>
        <w:t xml:space="preserve"> </w:t>
      </w:r>
      <w:r w:rsidR="00EC6337">
        <w:rPr>
          <w:b/>
          <w:sz w:val="28"/>
          <w:szCs w:val="28"/>
        </w:rPr>
        <w:t>15</w:t>
      </w:r>
      <w:r w:rsidR="00F91E58">
        <w:rPr>
          <w:b/>
          <w:sz w:val="28"/>
          <w:szCs w:val="28"/>
        </w:rPr>
        <w:t>, 2014</w:t>
      </w:r>
    </w:p>
    <w:p w:rsidR="002C120B" w:rsidRDefault="001E67B4" w:rsidP="002C120B">
      <w:pPr>
        <w:jc w:val="center"/>
        <w:rPr>
          <w:b/>
          <w:sz w:val="28"/>
          <w:szCs w:val="28"/>
        </w:rPr>
      </w:pPr>
      <w:r w:rsidRPr="002C120B">
        <w:rPr>
          <w:b/>
          <w:sz w:val="28"/>
          <w:szCs w:val="28"/>
        </w:rPr>
        <w:t>NEWTOWN CREEK ENVIROMENTAL BENEFIT PROJECT UPDATE</w:t>
      </w:r>
    </w:p>
    <w:p w:rsidR="00F91E58" w:rsidRDefault="00F91E58" w:rsidP="001E67B4"/>
    <w:p w:rsidR="001E67B4" w:rsidRDefault="001E67B4" w:rsidP="001E67B4">
      <w:r w:rsidRPr="00B94934">
        <w:t xml:space="preserve">In 2009, City Parks Foundation (CPF) was named the administrator of $7 million in </w:t>
      </w:r>
      <w:r w:rsidR="00CD1344">
        <w:t>mitigation funds related to a New York</w:t>
      </w:r>
      <w:r w:rsidRPr="00B94934">
        <w:t xml:space="preserve"> State lawsuit, surrounding the Newtown Creek Wastewater Treatment Plant project. </w:t>
      </w:r>
      <w:r>
        <w:t xml:space="preserve">In April 2013, </w:t>
      </w:r>
      <w:r w:rsidR="00CD1344">
        <w:t xml:space="preserve">the </w:t>
      </w:r>
      <w:r w:rsidR="000C21D3" w:rsidRPr="000C21D3">
        <w:t>New York State Energy Research and Development Authority</w:t>
      </w:r>
      <w:r w:rsidR="000C21D3">
        <w:t xml:space="preserve"> (</w:t>
      </w:r>
      <w:r>
        <w:t>NYSERDA</w:t>
      </w:r>
      <w:r w:rsidR="000C21D3">
        <w:t>)</w:t>
      </w:r>
      <w:r>
        <w:t xml:space="preserve"> transferred an additional $1.2 million to CPF. </w:t>
      </w:r>
      <w:r w:rsidRPr="00B94934">
        <w:t>These funds were dedicated to “community environmental benef</w:t>
      </w:r>
      <w:r w:rsidR="00446B32">
        <w:t>it projects</w:t>
      </w:r>
      <w:r w:rsidRPr="00B94934">
        <w:t>”</w:t>
      </w:r>
      <w:r w:rsidR="00446B32">
        <w:t xml:space="preserve"> in the areas proximate to the Newtown Creek Wastewater Treatment Plant. </w:t>
      </w:r>
      <w:r>
        <w:t xml:space="preserve"> CPF engaged in an extensive community consultation process by conducting community surveys and hosting community meetings. </w:t>
      </w:r>
      <w:r w:rsidRPr="00B94934">
        <w:t xml:space="preserve"> </w:t>
      </w:r>
    </w:p>
    <w:p w:rsidR="001E67B4" w:rsidRPr="00B94934" w:rsidRDefault="001E67B4" w:rsidP="001E67B4">
      <w:r>
        <w:t>Based on the results of this community consultation process, the New York State Department of Environmental Conservation</w:t>
      </w:r>
      <w:r w:rsidR="000C21D3">
        <w:t xml:space="preserve"> (DEC)</w:t>
      </w:r>
      <w:r>
        <w:t xml:space="preserve"> designated four projects, with the highest priority for implementation, as “primary” projects. The four chosen projects are the Greenpoint Boathouse Project, </w:t>
      </w:r>
      <w:r w:rsidR="000C21D3">
        <w:t xml:space="preserve">the </w:t>
      </w:r>
      <w:r>
        <w:t xml:space="preserve">Constructed Wetland Pilot Project, </w:t>
      </w:r>
      <w:r w:rsidR="000C21D3">
        <w:t xml:space="preserve">the </w:t>
      </w:r>
      <w:r>
        <w:t xml:space="preserve">Dutch Kills Basin Park Project, and </w:t>
      </w:r>
      <w:r w:rsidR="000C21D3">
        <w:t xml:space="preserve">the </w:t>
      </w:r>
      <w:r>
        <w:t>Tree Planting and Stormwater Management Project.</w:t>
      </w:r>
    </w:p>
    <w:p w:rsidR="00F91E58" w:rsidRDefault="001E67B4" w:rsidP="001E67B4">
      <w:pPr>
        <w:rPr>
          <w:b/>
        </w:rPr>
      </w:pPr>
      <w:r w:rsidRPr="00145E1A">
        <w:rPr>
          <w:b/>
        </w:rPr>
        <w:t>Greenpoint Boathouse</w:t>
      </w:r>
      <w:r w:rsidR="00F91E58">
        <w:rPr>
          <w:b/>
        </w:rPr>
        <w:t xml:space="preserve"> and Environmental Education Center</w:t>
      </w:r>
      <w:r w:rsidRPr="00145E1A">
        <w:rPr>
          <w:b/>
        </w:rPr>
        <w:t xml:space="preserve"> </w:t>
      </w:r>
    </w:p>
    <w:p w:rsidR="00794EA9" w:rsidRPr="00794EA9" w:rsidRDefault="00FE72C1" w:rsidP="00794EA9">
      <w:pPr>
        <w:rPr>
          <w:b/>
        </w:rPr>
      </w:pPr>
      <w:r>
        <w:rPr>
          <w:b/>
        </w:rPr>
        <w:t xml:space="preserve">Total Project Expenses to Date: </w:t>
      </w:r>
      <w:r w:rsidR="00794EA9">
        <w:rPr>
          <w:b/>
        </w:rPr>
        <w:t>$58,969.43</w:t>
      </w:r>
    </w:p>
    <w:p w:rsidR="001E67B4" w:rsidRDefault="001E67B4" w:rsidP="001E67B4">
      <w:r>
        <w:t xml:space="preserve">The Greenpoint Boathouse Project proposed to provide a location to store more than 60 </w:t>
      </w:r>
      <w:r w:rsidR="00002B6F">
        <w:t>kayaks and canoes</w:t>
      </w:r>
      <w:r>
        <w:t xml:space="preserve">. The Boathouse Project also proposed to provide space for environmental and historical education as well as a skills training facility to ensure small boat safety.  The Boathouse Project planned to utilize the Greenpoint Manufacturing and Design Center (GMDC) site at 1155 Manhattan Avenue. The proposal called for the reconstruction of the GMDC bulkhead as well as the rehabilitation of the basement of the GMDC building. The rebuilt bulkhead would become a public pedestrian promenade and the space in the basement of the GMDC building would house the boathouse and environmental center. </w:t>
      </w:r>
    </w:p>
    <w:p w:rsidR="001E67B4" w:rsidRDefault="001E67B4" w:rsidP="001E67B4">
      <w:r>
        <w:lastRenderedPageBreak/>
        <w:t xml:space="preserve">North Brooklyn Boat Club (NBBC), a member of the Greenpoint Waterfront Association for Parks and Planning (GWAPP), has spearheaded the project, serving as the representative of the community in working to implement the boathouse project.  Christine Holowacz and Dewey Thompson are serving as the primary representatives of NBBC/GWAPP for this project. </w:t>
      </w:r>
    </w:p>
    <w:p w:rsidR="001E67B4" w:rsidRDefault="001E67B4" w:rsidP="001E67B4">
      <w:r>
        <w:t xml:space="preserve">GMDC and NBBC/GWAPP </w:t>
      </w:r>
      <w:r w:rsidR="00885DD1">
        <w:t>were</w:t>
      </w:r>
      <w:r>
        <w:t xml:space="preserve"> in negotiations on and off since the project was first approved by </w:t>
      </w:r>
      <w:r w:rsidR="00CD1344">
        <w:t>DEC</w:t>
      </w:r>
      <w:r>
        <w:t xml:space="preserve"> in September 2011. </w:t>
      </w:r>
      <w:r w:rsidR="00F91E58">
        <w:t xml:space="preserve"> The two parties were unable to come to an agreement </w:t>
      </w:r>
      <w:r>
        <w:t xml:space="preserve">on the terms of the lease. The primary areas of contention </w:t>
      </w:r>
      <w:r w:rsidR="00F91E58">
        <w:t>were</w:t>
      </w:r>
      <w:r>
        <w:t xml:space="preserve"> the rent as well as the question of what constitutes legitimate use of the space.  </w:t>
      </w:r>
    </w:p>
    <w:p w:rsidR="00F91E58" w:rsidRDefault="00F91E58" w:rsidP="001E67B4">
      <w:r>
        <w:rPr>
          <w:color w:val="000000"/>
        </w:rPr>
        <w:t>Due to the failed lease negotiations, the Greenpoint Boathouse and Environmental Education Center community sponsors requested the opportunity to explore a project change in location from the Greenpoint Manufacturing and Design Center. DEC authorized the community sponsors to consider alternate locations provided the alternative site selection was restricted to Kings County, on Newtown Creek and within the study/ impact areas of the EBP.   </w:t>
      </w:r>
    </w:p>
    <w:p w:rsidR="009B60DD" w:rsidRDefault="00F91E58" w:rsidP="001E67B4">
      <w:r>
        <w:t>The community sponsors were able to identify an alternative site that met the selection criteria laid out by DEC. The proposed alternative is</w:t>
      </w:r>
      <w:r w:rsidR="001E67B4">
        <w:t xml:space="preserve"> t</w:t>
      </w:r>
      <w:r w:rsidR="00FE72C1">
        <w:t xml:space="preserve">he parcel of </w:t>
      </w:r>
      <w:r w:rsidR="00002B6F">
        <w:t>located at 437 McGuin</w:t>
      </w:r>
      <w:r w:rsidR="008A26AB">
        <w:t>n</w:t>
      </w:r>
      <w:r w:rsidR="00002B6F">
        <w:t>ess Boulevard</w:t>
      </w:r>
      <w:r w:rsidR="001E67B4">
        <w:t xml:space="preserve"> (parcel 2477 lot 40) that currently serves as the temporary home of</w:t>
      </w:r>
      <w:r>
        <w:t xml:space="preserve"> the NBBC. </w:t>
      </w:r>
      <w:r w:rsidR="001E67B4">
        <w:t xml:space="preserve"> </w:t>
      </w:r>
      <w:r w:rsidRPr="00F91E58">
        <w:t xml:space="preserve">The North Brooklyn Boat Club is working on finalizing an agreement to bring the Greenpoint Community Boathouse and Environmental Education Center to </w:t>
      </w:r>
      <w:r w:rsidR="00FE72C1">
        <w:t>this location.</w:t>
      </w:r>
      <w:r w:rsidRPr="00F91E58">
        <w:t xml:space="preserve"> The boathouse and environmental education center would be implemented in conjunction with a newly constructed four-story building at </w:t>
      </w:r>
      <w:r w:rsidR="00EA2254">
        <w:t>437 McGuin</w:t>
      </w:r>
      <w:r w:rsidR="008A26AB">
        <w:t>n</w:t>
      </w:r>
      <w:r w:rsidR="00EA2254">
        <w:t>ess Boulevard</w:t>
      </w:r>
      <w:r w:rsidRPr="00F91E58">
        <w:t xml:space="preserve">. The North Brooklyn Boat Club would take ownership of approximately 6500 sq feet of this newly constructed building. The remaining portion of the building would be owned and occupied by Broadway Stages, a private corporation which is </w:t>
      </w:r>
      <w:r w:rsidR="00885DD1">
        <w:t>constructing the new building.</w:t>
      </w:r>
      <w:r w:rsidR="00885DD1">
        <w:br/>
      </w:r>
      <w:r w:rsidRPr="00F91E58">
        <w:br/>
        <w:t xml:space="preserve">Additionally, as part </w:t>
      </w:r>
      <w:r w:rsidR="00FE72C1">
        <w:t>of the project, approximately 36</w:t>
      </w:r>
      <w:r w:rsidRPr="00F91E58">
        <w:t xml:space="preserve"> feet of the bulkhead alongside Newtown Creek would be reconstructed in order to ensure safe boat launches.</w:t>
      </w:r>
    </w:p>
    <w:p w:rsidR="001E67B4" w:rsidRDefault="00F91E58" w:rsidP="001E67B4">
      <w:pPr>
        <w:rPr>
          <w:b/>
        </w:rPr>
      </w:pPr>
      <w:r w:rsidRPr="00F91E58">
        <w:br/>
      </w:r>
      <w:r w:rsidR="001E67B4" w:rsidRPr="00145E1A">
        <w:rPr>
          <w:b/>
        </w:rPr>
        <w:t xml:space="preserve">Constructed Wetland Frame Project Update </w:t>
      </w:r>
    </w:p>
    <w:p w:rsidR="00FE72C1" w:rsidRPr="00FE72C1" w:rsidRDefault="00FE72C1" w:rsidP="00FE72C1">
      <w:pPr>
        <w:rPr>
          <w:b/>
        </w:rPr>
      </w:pPr>
      <w:r>
        <w:rPr>
          <w:b/>
        </w:rPr>
        <w:t>Total Project Expenses to Date: $</w:t>
      </w:r>
      <w:r w:rsidR="00870FD7">
        <w:rPr>
          <w:b/>
        </w:rPr>
        <w:t>90,790</w:t>
      </w:r>
      <w:r w:rsidR="00794EA9">
        <w:rPr>
          <w:b/>
        </w:rPr>
        <w:t>.15</w:t>
      </w:r>
    </w:p>
    <w:p w:rsidR="001E67B4" w:rsidRDefault="001E67B4" w:rsidP="001E67B4">
      <w:r>
        <w:t xml:space="preserve">The Constructed Wetland Pilot Project proposed to install lightweight stainless steel wetland frames at various locations from the cement bulkheads that extend between the Pulaski Bridge and the mouth of Dutch Kills opposite the Whale Creek Nature Walk. Sarah Durand, Associate </w:t>
      </w:r>
      <w:r>
        <w:lastRenderedPageBreak/>
        <w:t>Professor of Natural Science at</w:t>
      </w:r>
      <w:r w:rsidR="00E70E11">
        <w:t xml:space="preserve"> LaGuardia Community College,</w:t>
      </w:r>
      <w:r>
        <w:t xml:space="preserve"> serve</w:t>
      </w:r>
      <w:r w:rsidR="00E70E11">
        <w:t>s</w:t>
      </w:r>
      <w:r>
        <w:t xml:space="preserve"> as</w:t>
      </w:r>
      <w:r w:rsidR="00E70E11">
        <w:t xml:space="preserve"> the primary community partner and</w:t>
      </w:r>
      <w:r>
        <w:t xml:space="preserve"> wetland ecology expert for the project. </w:t>
      </w:r>
      <w:r w:rsidR="00E70E11">
        <w:t>City Parks Foundation has contracted with Carter Craft, Outside New York, to serve as project manager for the wetland frames project.</w:t>
      </w:r>
    </w:p>
    <w:p w:rsidR="005A0200" w:rsidRDefault="00E70E11" w:rsidP="001E67B4">
      <w:r>
        <w:t>Durand and Craft conducted</w:t>
      </w:r>
      <w:r w:rsidR="001E67B4">
        <w:t xml:space="preserve"> experiments</w:t>
      </w:r>
      <w:r w:rsidR="00511EF6">
        <w:t xml:space="preserve"> by installing test buckets</w:t>
      </w:r>
      <w:r w:rsidR="001E67B4">
        <w:t xml:space="preserve"> in the project area in order to determine what wetland plants</w:t>
      </w:r>
      <w:r>
        <w:t xml:space="preserve"> and mussel species</w:t>
      </w:r>
      <w:r w:rsidR="001E67B4">
        <w:t xml:space="preserve"> are best suited for the frames. </w:t>
      </w:r>
      <w:r w:rsidR="00F209B5">
        <w:t xml:space="preserve"> </w:t>
      </w:r>
      <w:r w:rsidR="00AC5497">
        <w:t xml:space="preserve">Based on the results of these experiments frames were fabricated, installed, and plants have been established in the installations. </w:t>
      </w:r>
      <w:r w:rsidR="005A0200">
        <w:t xml:space="preserve">Through the summer, with the help of workers from LaGuardia </w:t>
      </w:r>
      <w:r w:rsidR="00574A61">
        <w:t>Community College and the North Brooklyn Boat Club</w:t>
      </w:r>
      <w:r w:rsidR="005A0200">
        <w:t>,</w:t>
      </w:r>
      <w:r w:rsidR="00574A61">
        <w:t xml:space="preserve"> Durand and Craft</w:t>
      </w:r>
      <w:r w:rsidR="005A0200">
        <w:t xml:space="preserve"> have installed 16 frames.</w:t>
      </w:r>
    </w:p>
    <w:p w:rsidR="00511EF6" w:rsidRDefault="00511EF6" w:rsidP="001E67B4">
      <w:r>
        <w:t xml:space="preserve">The next step is to study the currently installed frames in preparation for the mass production and installation of frames for the final stage of the project. The project is anticipated to be completed by the end of summer 2015. </w:t>
      </w:r>
    </w:p>
    <w:p w:rsidR="00977ABB" w:rsidRPr="0058220D" w:rsidRDefault="00977ABB" w:rsidP="001E67B4">
      <w:r>
        <w:t xml:space="preserve">LaGuardia Community College has </w:t>
      </w:r>
      <w:r w:rsidR="00511EF6">
        <w:t>agreed to maintain</w:t>
      </w:r>
      <w:r>
        <w:t xml:space="preserve"> and</w:t>
      </w:r>
      <w:r w:rsidR="00511EF6">
        <w:t xml:space="preserve"> utilize</w:t>
      </w:r>
      <w:r>
        <w:t xml:space="preserve"> the fra</w:t>
      </w:r>
      <w:r w:rsidR="00511EF6">
        <w:t xml:space="preserve">mes as part of science courses. Durand is currently working on developing a detailed maintenance plan. </w:t>
      </w:r>
    </w:p>
    <w:p w:rsidR="001E67B4" w:rsidRDefault="001E67B4" w:rsidP="001E67B4">
      <w:pPr>
        <w:rPr>
          <w:b/>
        </w:rPr>
      </w:pPr>
      <w:r w:rsidRPr="00853153">
        <w:rPr>
          <w:b/>
        </w:rPr>
        <w:t>Dutch Kills Basin Park Project</w:t>
      </w:r>
    </w:p>
    <w:p w:rsidR="00977ABB" w:rsidRPr="00853153" w:rsidRDefault="00977ABB" w:rsidP="001E67B4">
      <w:pPr>
        <w:rPr>
          <w:b/>
        </w:rPr>
      </w:pPr>
      <w:r>
        <w:rPr>
          <w:b/>
        </w:rPr>
        <w:t>Total Project Expense</w:t>
      </w:r>
      <w:r w:rsidR="008C5C62">
        <w:rPr>
          <w:b/>
        </w:rPr>
        <w:t xml:space="preserve"> to Date</w:t>
      </w:r>
      <w:r>
        <w:rPr>
          <w:b/>
        </w:rPr>
        <w:t>:  $2,500.00</w:t>
      </w:r>
    </w:p>
    <w:p w:rsidR="00112235" w:rsidRDefault="00112235" w:rsidP="001E67B4">
      <w:r w:rsidRPr="00112235">
        <w:t>The Dutch Kills Basin Park Project proposed to construct a park with athletic fields and waterfront access. The proposed park location is along 47</w:t>
      </w:r>
      <w:r w:rsidRPr="00112235">
        <w:rPr>
          <w:vertAlign w:val="superscript"/>
        </w:rPr>
        <w:t>th</w:t>
      </w:r>
      <w:r w:rsidRPr="00112235">
        <w:t> Avenue between 27</w:t>
      </w:r>
      <w:r w:rsidRPr="00112235">
        <w:rPr>
          <w:vertAlign w:val="superscript"/>
        </w:rPr>
        <w:t>th</w:t>
      </w:r>
      <w:r w:rsidRPr="00112235">
        <w:t>and 29</w:t>
      </w:r>
      <w:r w:rsidRPr="00112235">
        <w:rPr>
          <w:vertAlign w:val="superscript"/>
        </w:rPr>
        <w:t>th</w:t>
      </w:r>
      <w:r w:rsidRPr="00112235">
        <w:t> Streets, in the area adjoining the Dutch Kills basin. Long Island City Roots is serving as the primary community representative for the proposed project.</w:t>
      </w:r>
      <w:r w:rsidRPr="00112235">
        <w:br/>
      </w:r>
      <w:r w:rsidRPr="00112235">
        <w:br/>
        <w:t>City Parks Foundation partnered with The Trust for Public Land (TPL) in evaluating the proposed park location. TPL submitted a letter of inquiry to the property owners of the parcels required to construct the park in the proposed location.  The property owners did not respond to TPL’s letter. While awaiting response from the property owners, City Parks Foundation contracted with Goodman-Marks Associates to perform an appraisal of the proposed park location. The appraised value of the property greatly exceeded the proposed project budget.</w:t>
      </w:r>
      <w:r w:rsidRPr="00112235">
        <w:br/>
      </w:r>
      <w:r w:rsidRPr="00112235">
        <w:br/>
        <w:t>The community sponsors requested that DEC allow Long Island City Roots to attempt to identify an alternative location within the impact area (1/2 mile of Newtown Creek). In May 2014, DEC granted this request and authorized CPF to set aside $2 million of the Newtown Creek Funds for one year to give the community sponsor time to identify an alternative site. </w:t>
      </w:r>
    </w:p>
    <w:p w:rsidR="003A7C86" w:rsidRDefault="003A7C86" w:rsidP="001E67B4">
      <w:pPr>
        <w:rPr>
          <w:b/>
          <w:noProof/>
        </w:rPr>
      </w:pPr>
    </w:p>
    <w:p w:rsidR="003A7C86" w:rsidRDefault="003A7C86" w:rsidP="001E67B4">
      <w:pPr>
        <w:rPr>
          <w:b/>
          <w:noProof/>
        </w:rPr>
      </w:pPr>
    </w:p>
    <w:p w:rsidR="003A7C86" w:rsidRDefault="003A7C86" w:rsidP="001E67B4">
      <w:pPr>
        <w:rPr>
          <w:b/>
          <w:noProof/>
        </w:rPr>
      </w:pPr>
    </w:p>
    <w:p w:rsidR="001E67B4" w:rsidRDefault="001E67B4" w:rsidP="001E67B4">
      <w:pPr>
        <w:rPr>
          <w:b/>
          <w:noProof/>
        </w:rPr>
      </w:pPr>
      <w:r w:rsidRPr="00853153">
        <w:rPr>
          <w:b/>
          <w:noProof/>
        </w:rPr>
        <w:t>Tree Planting and Stormwater Management Projects</w:t>
      </w:r>
    </w:p>
    <w:p w:rsidR="008C5C62" w:rsidRDefault="008C5C62" w:rsidP="001E67B4">
      <w:pPr>
        <w:rPr>
          <w:b/>
          <w:noProof/>
        </w:rPr>
      </w:pPr>
      <w:r>
        <w:rPr>
          <w:b/>
          <w:noProof/>
        </w:rPr>
        <w:t>Total Project Expense to Date: $ 0.00</w:t>
      </w:r>
    </w:p>
    <w:p w:rsidR="001E67B4" w:rsidRDefault="001E67B4" w:rsidP="001E67B4">
      <w:r>
        <w:rPr>
          <w:noProof/>
        </w:rPr>
        <w:t>According to the list of</w:t>
      </w:r>
      <w:r w:rsidR="00DE0A40">
        <w:rPr>
          <w:noProof/>
        </w:rPr>
        <w:t xml:space="preserve"> approved projects $500,000.000 </w:t>
      </w:r>
      <w:r>
        <w:rPr>
          <w:noProof/>
        </w:rPr>
        <w:t xml:space="preserve">would be designated for tree planting and stormwater management in Greenpoint, Maspeth, and Long Island City in the event there were any funding remaining  after the other primary projects were completed.  </w:t>
      </w:r>
    </w:p>
    <w:p w:rsidR="00543C76" w:rsidRDefault="0066724A">
      <w:r>
        <w:br w:type="page"/>
      </w:r>
    </w:p>
    <w:p w:rsidR="00411CA3" w:rsidRDefault="00543C76" w:rsidP="00411CA3">
      <w:pPr>
        <w:spacing w:after="0" w:line="240" w:lineRule="auto"/>
        <w:jc w:val="center"/>
        <w:rPr>
          <w:b/>
          <w:i/>
          <w:sz w:val="28"/>
          <w:szCs w:val="28"/>
        </w:rPr>
      </w:pPr>
      <w:r w:rsidRPr="00543C76">
        <w:rPr>
          <w:b/>
          <w:i/>
          <w:sz w:val="28"/>
          <w:szCs w:val="28"/>
        </w:rPr>
        <w:lastRenderedPageBreak/>
        <w:t>Newtown Creek Expense Summary</w:t>
      </w:r>
      <w:r w:rsidR="00F23E3F">
        <w:rPr>
          <w:b/>
          <w:i/>
          <w:sz w:val="28"/>
          <w:szCs w:val="28"/>
        </w:rPr>
        <w:t xml:space="preserve"> </w:t>
      </w:r>
    </w:p>
    <w:p w:rsidR="00543C76" w:rsidRPr="00543C76" w:rsidRDefault="00F23E3F" w:rsidP="00411CA3">
      <w:pPr>
        <w:spacing w:after="0" w:line="240" w:lineRule="auto"/>
        <w:jc w:val="center"/>
        <w:rPr>
          <w:b/>
          <w:i/>
          <w:sz w:val="28"/>
          <w:szCs w:val="28"/>
        </w:rPr>
      </w:pPr>
      <w:r>
        <w:rPr>
          <w:b/>
          <w:i/>
          <w:sz w:val="28"/>
          <w:szCs w:val="28"/>
        </w:rPr>
        <w:t>(Through (9/15/2014)</w:t>
      </w:r>
    </w:p>
    <w:tbl>
      <w:tblPr>
        <w:tblpPr w:leftFromText="180" w:rightFromText="180" w:vertAnchor="text" w:horzAnchor="margin" w:tblpXSpec="center" w:tblpY="293"/>
        <w:tblW w:w="0" w:type="auto"/>
        <w:tblLayout w:type="fixed"/>
        <w:tblLook w:val="0000"/>
      </w:tblPr>
      <w:tblGrid>
        <w:gridCol w:w="3348"/>
        <w:gridCol w:w="4646"/>
        <w:gridCol w:w="2304"/>
      </w:tblGrid>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4,000,000.00 </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Funding Received 11/17/09</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3,000,000.00 </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Funding Received 6/28/10</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1,208,348.65 </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NYSERDA Funds Transfer 5/9/13</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F23E3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w:t>
            </w:r>
            <w:r w:rsidR="00F23E3F">
              <w:rPr>
                <w:rFonts w:ascii="Calibri" w:hAnsi="Calibri" w:cs="Calibri"/>
                <w:color w:val="000000"/>
              </w:rPr>
              <w:t>80,710.</w:t>
            </w:r>
            <w:r w:rsidRPr="00543C76">
              <w:rPr>
                <w:rFonts w:ascii="Calibri" w:hAnsi="Calibri" w:cs="Calibri"/>
                <w:color w:val="000000"/>
              </w:rPr>
              <w:t>2</w:t>
            </w:r>
            <w:r w:rsidR="00F23E3F">
              <w:rPr>
                <w:rFonts w:ascii="Calibri" w:hAnsi="Calibri" w:cs="Calibri"/>
                <w:color w:val="000000"/>
              </w:rPr>
              <w:t>4</w:t>
            </w:r>
            <w:r w:rsidRPr="00543C76">
              <w:rPr>
                <w:rFonts w:ascii="Calibri" w:hAnsi="Calibri" w:cs="Calibri"/>
                <w:color w:val="000000"/>
              </w:rPr>
              <w:t xml:space="preserve"> </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Interest earned (a</w:t>
            </w:r>
            <w:r w:rsidR="00F23E3F">
              <w:rPr>
                <w:rFonts w:ascii="Calibri" w:hAnsi="Calibri" w:cs="Calibri"/>
                <w:color w:val="000000"/>
              </w:rPr>
              <w:t>s of 6/30/14</w:t>
            </w:r>
            <w:r w:rsidRPr="00543C76">
              <w:rPr>
                <w:rFonts w:ascii="Calibri" w:hAnsi="Calibri" w:cs="Calibri"/>
                <w:color w:val="000000"/>
              </w:rPr>
              <w:t xml:space="preserve">) </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b/>
                <w:bCs/>
                <w:color w:val="000000"/>
              </w:rPr>
            </w:pPr>
            <w:r w:rsidRPr="00543C76">
              <w:rPr>
                <w:rFonts w:ascii="Calibri" w:hAnsi="Calibri" w:cs="Calibri"/>
                <w:b/>
                <w:bCs/>
                <w:color w:val="000000"/>
              </w:rPr>
              <w:t xml:space="preserve"> $        </w:t>
            </w:r>
            <w:r w:rsidR="00F23E3F">
              <w:rPr>
                <w:rFonts w:ascii="Calibri" w:hAnsi="Calibri" w:cs="Calibri"/>
                <w:b/>
                <w:bCs/>
                <w:color w:val="000000"/>
              </w:rPr>
              <w:t xml:space="preserve">                            8,289,058.89</w:t>
            </w:r>
            <w:r w:rsidRPr="00543C76">
              <w:rPr>
                <w:rFonts w:ascii="Calibri" w:hAnsi="Calibri" w:cs="Calibri"/>
                <w:b/>
                <w:bCs/>
                <w:color w:val="000000"/>
              </w:rPr>
              <w:t xml:space="preserve"> </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b/>
                <w:bCs/>
                <w:color w:val="000000"/>
              </w:rPr>
            </w:pPr>
            <w:r w:rsidRPr="00543C76">
              <w:rPr>
                <w:rFonts w:ascii="Calibri" w:hAnsi="Calibri" w:cs="Calibri"/>
                <w:b/>
                <w:bCs/>
                <w:color w:val="000000"/>
              </w:rPr>
              <w:t>Total Funds Received</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b/>
                <w:bCs/>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b/>
                <w:bCs/>
                <w:color w:val="000000"/>
              </w:rPr>
            </w:pP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b/>
                <w:bCs/>
                <w:color w:val="000000"/>
              </w:rPr>
            </w:pP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b/>
                <w:bCs/>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 xml:space="preserve"> $                                    (820,000.00)</w:t>
            </w:r>
          </w:p>
        </w:tc>
        <w:tc>
          <w:tcPr>
            <w:tcW w:w="6950" w:type="dxa"/>
            <w:gridSpan w:val="2"/>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City Parks Foundation Administrative Fee (Reserved)</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b/>
                <w:bCs/>
                <w:color w:val="000000"/>
              </w:rPr>
            </w:pPr>
            <w:r w:rsidRPr="00543C76">
              <w:rPr>
                <w:rFonts w:ascii="Calibri" w:hAnsi="Calibri" w:cs="Calibri"/>
                <w:b/>
                <w:bCs/>
                <w:color w:val="000000"/>
              </w:rPr>
              <w:t>Expenses</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b/>
                <w:bCs/>
                <w:color w:val="000000"/>
              </w:rPr>
            </w:pPr>
            <w:r w:rsidRPr="00543C76">
              <w:rPr>
                <w:rFonts w:ascii="Calibri" w:hAnsi="Calibri" w:cs="Calibri"/>
                <w:b/>
                <w:bCs/>
                <w:color w:val="000000"/>
              </w:rPr>
              <w:t>Description</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rPr>
                <w:rFonts w:ascii="Calibri" w:hAnsi="Calibri" w:cs="Calibri"/>
                <w:b/>
                <w:bCs/>
                <w:color w:val="000000"/>
              </w:rPr>
            </w:pPr>
            <w:r w:rsidRPr="00543C76">
              <w:rPr>
                <w:rFonts w:ascii="Calibri" w:hAnsi="Calibri" w:cs="Calibri"/>
                <w:b/>
                <w:bCs/>
                <w:color w:val="000000"/>
              </w:rPr>
              <w:t>Date Range</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 xml:space="preserve">                                          (35,840.93)</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Boathouse expenses</w:t>
            </w:r>
            <w:r w:rsidR="0043669E">
              <w:rPr>
                <w:rFonts w:ascii="Calibri" w:hAnsi="Calibri" w:cs="Calibri"/>
                <w:color w:val="000000"/>
              </w:rPr>
              <w:t xml:space="preserve"> (First Update Report)</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Through 8/15/2013</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(2,226.90)</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 xml:space="preserve">Boathouse expenses </w:t>
            </w:r>
            <w:r w:rsidR="0043669E">
              <w:rPr>
                <w:rFonts w:ascii="Calibri" w:hAnsi="Calibri" w:cs="Calibri"/>
                <w:color w:val="000000"/>
              </w:rPr>
              <w:t>(Second Update Report)</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8/15/2013-3/25/2014</w:t>
            </w:r>
          </w:p>
        </w:tc>
      </w:tr>
      <w:tr w:rsidR="00984800"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984800" w:rsidRPr="00315CD1" w:rsidRDefault="00315CD1" w:rsidP="00BD617F">
            <w:pPr>
              <w:autoSpaceDE w:val="0"/>
              <w:autoSpaceDN w:val="0"/>
              <w:adjustRightInd w:val="0"/>
              <w:spacing w:after="0" w:line="240" w:lineRule="auto"/>
              <w:jc w:val="right"/>
              <w:rPr>
                <w:rFonts w:ascii="Calibri" w:hAnsi="Calibri" w:cs="Calibri"/>
                <w:color w:val="000000"/>
              </w:rPr>
            </w:pPr>
            <w:r w:rsidRPr="00984800">
              <w:rPr>
                <w:rFonts w:ascii="Calibri" w:eastAsia="Times New Roman" w:hAnsi="Calibri" w:cs="Times New Roman"/>
                <w:color w:val="000000"/>
              </w:rPr>
              <w:t xml:space="preserve">    (20,901.60)</w:t>
            </w:r>
          </w:p>
        </w:tc>
        <w:tc>
          <w:tcPr>
            <w:tcW w:w="4646" w:type="dxa"/>
            <w:tcBorders>
              <w:top w:val="single" w:sz="6" w:space="0" w:color="000000"/>
              <w:left w:val="single" w:sz="2" w:space="0" w:color="000000"/>
              <w:bottom w:val="single" w:sz="6" w:space="0" w:color="000000"/>
              <w:right w:val="single" w:sz="2" w:space="0" w:color="000000"/>
            </w:tcBorders>
          </w:tcPr>
          <w:p w:rsidR="00984800" w:rsidRPr="00543C76" w:rsidRDefault="00984800" w:rsidP="00BD617F">
            <w:pPr>
              <w:autoSpaceDE w:val="0"/>
              <w:autoSpaceDN w:val="0"/>
              <w:adjustRightInd w:val="0"/>
              <w:spacing w:after="0" w:line="240" w:lineRule="auto"/>
              <w:rPr>
                <w:rFonts w:ascii="Calibri" w:hAnsi="Calibri" w:cs="Calibri"/>
                <w:color w:val="000000"/>
              </w:rPr>
            </w:pPr>
            <w:r>
              <w:rPr>
                <w:rFonts w:ascii="Calibri" w:hAnsi="Calibri" w:cs="Calibri"/>
                <w:color w:val="000000"/>
              </w:rPr>
              <w:t>Boathouse expenses</w:t>
            </w:r>
            <w:r w:rsidR="0043669E">
              <w:rPr>
                <w:rFonts w:ascii="Calibri" w:hAnsi="Calibri" w:cs="Calibri"/>
                <w:color w:val="000000"/>
              </w:rPr>
              <w:t xml:space="preserve"> (Current Update Report)</w:t>
            </w:r>
          </w:p>
        </w:tc>
        <w:tc>
          <w:tcPr>
            <w:tcW w:w="2304" w:type="dxa"/>
            <w:tcBorders>
              <w:top w:val="single" w:sz="6" w:space="0" w:color="000000"/>
              <w:left w:val="single" w:sz="2" w:space="0" w:color="000000"/>
              <w:bottom w:val="single" w:sz="6" w:space="0" w:color="000000"/>
              <w:right w:val="single" w:sz="6" w:space="0" w:color="000000"/>
            </w:tcBorders>
          </w:tcPr>
          <w:p w:rsidR="00984800" w:rsidRPr="00543C76" w:rsidRDefault="00984800" w:rsidP="00BD617F">
            <w:pPr>
              <w:autoSpaceDE w:val="0"/>
              <w:autoSpaceDN w:val="0"/>
              <w:adjustRightInd w:val="0"/>
              <w:spacing w:after="0" w:line="240" w:lineRule="auto"/>
              <w:rPr>
                <w:rFonts w:ascii="Calibri" w:hAnsi="Calibri" w:cs="Calibri"/>
                <w:color w:val="000000"/>
              </w:rPr>
            </w:pPr>
            <w:r>
              <w:rPr>
                <w:rFonts w:ascii="Calibri" w:hAnsi="Calibri" w:cs="Calibri"/>
                <w:color w:val="000000"/>
              </w:rPr>
              <w:t>3/26/2014-9/15/2014</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(16,637.39)</w:t>
            </w:r>
          </w:p>
        </w:tc>
        <w:tc>
          <w:tcPr>
            <w:tcW w:w="4646" w:type="dxa"/>
            <w:tcBorders>
              <w:top w:val="single" w:sz="6" w:space="0" w:color="000000"/>
              <w:left w:val="single" w:sz="2" w:space="0" w:color="000000"/>
              <w:bottom w:val="single" w:sz="6" w:space="0" w:color="000000"/>
              <w:right w:val="single" w:sz="2" w:space="0" w:color="000000"/>
            </w:tcBorders>
          </w:tcPr>
          <w:p w:rsidR="0043669E"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Wetland expenses</w:t>
            </w:r>
            <w:r w:rsidR="0043669E">
              <w:rPr>
                <w:rFonts w:ascii="Calibri" w:hAnsi="Calibri" w:cs="Calibri"/>
                <w:color w:val="000000"/>
              </w:rPr>
              <w:t xml:space="preserve"> (First Update Report)</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Through 8/15/2013</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(23,420.15)</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Wetland expenses</w:t>
            </w:r>
            <w:r w:rsidR="0043669E">
              <w:rPr>
                <w:rFonts w:ascii="Calibri" w:hAnsi="Calibri" w:cs="Calibri"/>
                <w:color w:val="000000"/>
              </w:rPr>
              <w:t xml:space="preserve"> (Second Update Report)</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8/15/2013-3/25/2014</w:t>
            </w:r>
          </w:p>
        </w:tc>
      </w:tr>
      <w:tr w:rsidR="00984800"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984800" w:rsidRPr="00315CD1" w:rsidRDefault="00315CD1" w:rsidP="00BD617F">
            <w:pPr>
              <w:autoSpaceDE w:val="0"/>
              <w:autoSpaceDN w:val="0"/>
              <w:adjustRightInd w:val="0"/>
              <w:spacing w:after="0" w:line="240" w:lineRule="auto"/>
              <w:jc w:val="right"/>
              <w:rPr>
                <w:rFonts w:ascii="Calibri" w:hAnsi="Calibri" w:cs="Calibri"/>
                <w:color w:val="000000"/>
              </w:rPr>
            </w:pPr>
            <w:r w:rsidRPr="00984800">
              <w:rPr>
                <w:rFonts w:ascii="Calibri" w:eastAsia="Times New Roman" w:hAnsi="Calibri" w:cs="Times New Roman"/>
                <w:color w:val="000000"/>
              </w:rPr>
              <w:t>(50,732.61)</w:t>
            </w:r>
          </w:p>
        </w:tc>
        <w:tc>
          <w:tcPr>
            <w:tcW w:w="4646" w:type="dxa"/>
            <w:tcBorders>
              <w:top w:val="single" w:sz="6" w:space="0" w:color="000000"/>
              <w:left w:val="single" w:sz="2" w:space="0" w:color="000000"/>
              <w:bottom w:val="single" w:sz="6" w:space="0" w:color="000000"/>
              <w:right w:val="single" w:sz="2" w:space="0" w:color="000000"/>
            </w:tcBorders>
          </w:tcPr>
          <w:p w:rsidR="00984800" w:rsidRPr="00543C76" w:rsidRDefault="00984800" w:rsidP="00BD617F">
            <w:pPr>
              <w:autoSpaceDE w:val="0"/>
              <w:autoSpaceDN w:val="0"/>
              <w:adjustRightInd w:val="0"/>
              <w:spacing w:after="0" w:line="240" w:lineRule="auto"/>
              <w:rPr>
                <w:rFonts w:ascii="Calibri" w:hAnsi="Calibri" w:cs="Calibri"/>
                <w:color w:val="000000"/>
              </w:rPr>
            </w:pPr>
            <w:r>
              <w:rPr>
                <w:rFonts w:ascii="Calibri" w:hAnsi="Calibri" w:cs="Calibri"/>
                <w:color w:val="000000"/>
              </w:rPr>
              <w:t>Wetland expenses</w:t>
            </w:r>
            <w:r w:rsidR="0043669E">
              <w:rPr>
                <w:rFonts w:ascii="Calibri" w:hAnsi="Calibri" w:cs="Calibri"/>
                <w:color w:val="000000"/>
              </w:rPr>
              <w:t xml:space="preserve"> (Current Update Report)</w:t>
            </w:r>
          </w:p>
        </w:tc>
        <w:tc>
          <w:tcPr>
            <w:tcW w:w="2304" w:type="dxa"/>
            <w:tcBorders>
              <w:top w:val="single" w:sz="6" w:space="0" w:color="000000"/>
              <w:left w:val="single" w:sz="2" w:space="0" w:color="000000"/>
              <w:bottom w:val="single" w:sz="6" w:space="0" w:color="000000"/>
              <w:right w:val="single" w:sz="6" w:space="0" w:color="000000"/>
            </w:tcBorders>
          </w:tcPr>
          <w:p w:rsidR="00984800" w:rsidRPr="00543C76" w:rsidRDefault="00984800" w:rsidP="00BD617F">
            <w:pPr>
              <w:autoSpaceDE w:val="0"/>
              <w:autoSpaceDN w:val="0"/>
              <w:adjustRightInd w:val="0"/>
              <w:spacing w:after="0" w:line="240" w:lineRule="auto"/>
              <w:rPr>
                <w:rFonts w:ascii="Calibri" w:hAnsi="Calibri" w:cs="Calibri"/>
                <w:color w:val="000000"/>
              </w:rPr>
            </w:pPr>
            <w:r>
              <w:rPr>
                <w:rFonts w:ascii="Calibri" w:hAnsi="Calibri" w:cs="Calibri"/>
                <w:color w:val="000000"/>
              </w:rPr>
              <w:t>3/26/2014-9/15/2014</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r w:rsidRPr="00543C76">
              <w:rPr>
                <w:rFonts w:ascii="Calibri" w:hAnsi="Calibri" w:cs="Calibri"/>
                <w:color w:val="000000"/>
              </w:rPr>
              <w:t xml:space="preserve">                                            (2,500.00)</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color w:val="000000"/>
              </w:rPr>
            </w:pPr>
            <w:r w:rsidRPr="00543C76">
              <w:rPr>
                <w:rFonts w:ascii="Calibri" w:hAnsi="Calibri" w:cs="Calibri"/>
                <w:color w:val="000000"/>
              </w:rPr>
              <w:t>Dutch Kills Expenses</w:t>
            </w:r>
            <w:r w:rsidR="0043669E">
              <w:rPr>
                <w:rFonts w:ascii="Calibri" w:hAnsi="Calibri" w:cs="Calibri"/>
                <w:color w:val="000000"/>
              </w:rPr>
              <w:t xml:space="preserve"> (Current Update Report)</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43669E" w:rsidP="00BD617F">
            <w:pPr>
              <w:autoSpaceDE w:val="0"/>
              <w:autoSpaceDN w:val="0"/>
              <w:adjustRightInd w:val="0"/>
              <w:spacing w:after="0" w:line="240" w:lineRule="auto"/>
              <w:rPr>
                <w:rFonts w:ascii="Calibri" w:hAnsi="Calibri" w:cs="Calibri"/>
                <w:color w:val="000000"/>
              </w:rPr>
            </w:pPr>
            <w:r>
              <w:rPr>
                <w:rFonts w:ascii="Calibri" w:hAnsi="Calibri" w:cs="Calibri"/>
                <w:color w:val="000000"/>
              </w:rPr>
              <w:t>Through 9</w:t>
            </w:r>
            <w:r w:rsidR="00BD617F" w:rsidRPr="00543C76">
              <w:rPr>
                <w:rFonts w:ascii="Calibri" w:hAnsi="Calibri" w:cs="Calibri"/>
                <w:color w:val="000000"/>
              </w:rPr>
              <w:t>/15/201</w:t>
            </w:r>
            <w:r>
              <w:rPr>
                <w:rFonts w:ascii="Calibri" w:hAnsi="Calibri" w:cs="Calibri"/>
                <w:color w:val="000000"/>
              </w:rPr>
              <w:t>4</w:t>
            </w:r>
          </w:p>
        </w:tc>
      </w:tr>
      <w:tr w:rsidR="00BD617F" w:rsidRPr="00543C76" w:rsidTr="00315CD1">
        <w:trPr>
          <w:trHeight w:val="290"/>
        </w:trPr>
        <w:tc>
          <w:tcPr>
            <w:tcW w:w="3348" w:type="dxa"/>
            <w:tcBorders>
              <w:top w:val="single" w:sz="6" w:space="0" w:color="000000"/>
              <w:left w:val="single" w:sz="6" w:space="0" w:color="000000"/>
              <w:bottom w:val="single" w:sz="6" w:space="0" w:color="000000"/>
              <w:right w:val="single" w:sz="2" w:space="0" w:color="000000"/>
            </w:tcBorders>
          </w:tcPr>
          <w:p w:rsidR="00BD617F" w:rsidRPr="00543C76" w:rsidRDefault="002D42DC" w:rsidP="00315CD1">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7,316,799</w:t>
            </w:r>
            <w:r w:rsidR="00315CD1" w:rsidRPr="00315CD1">
              <w:rPr>
                <w:rFonts w:ascii="Calibri" w:hAnsi="Calibri" w:cs="Calibri"/>
                <w:b/>
                <w:bCs/>
                <w:color w:val="000000"/>
              </w:rPr>
              <w:t xml:space="preserve">.31 </w:t>
            </w:r>
          </w:p>
        </w:tc>
        <w:tc>
          <w:tcPr>
            <w:tcW w:w="4646" w:type="dxa"/>
            <w:tcBorders>
              <w:top w:val="single" w:sz="6" w:space="0" w:color="000000"/>
              <w:left w:val="single" w:sz="2" w:space="0" w:color="000000"/>
              <w:bottom w:val="single" w:sz="6" w:space="0" w:color="000000"/>
              <w:right w:val="single" w:sz="2" w:space="0" w:color="000000"/>
            </w:tcBorders>
          </w:tcPr>
          <w:p w:rsidR="00BD617F" w:rsidRPr="00543C76" w:rsidRDefault="00BD617F" w:rsidP="00BD617F">
            <w:pPr>
              <w:autoSpaceDE w:val="0"/>
              <w:autoSpaceDN w:val="0"/>
              <w:adjustRightInd w:val="0"/>
              <w:spacing w:after="0" w:line="240" w:lineRule="auto"/>
              <w:rPr>
                <w:rFonts w:ascii="Calibri" w:hAnsi="Calibri" w:cs="Calibri"/>
                <w:b/>
                <w:bCs/>
                <w:color w:val="000000"/>
              </w:rPr>
            </w:pPr>
            <w:r w:rsidRPr="00543C76">
              <w:rPr>
                <w:rFonts w:ascii="Calibri" w:hAnsi="Calibri" w:cs="Calibri"/>
                <w:b/>
                <w:bCs/>
                <w:color w:val="000000"/>
              </w:rPr>
              <w:t>Current Balance</w:t>
            </w:r>
          </w:p>
        </w:tc>
        <w:tc>
          <w:tcPr>
            <w:tcW w:w="2304" w:type="dxa"/>
            <w:tcBorders>
              <w:top w:val="single" w:sz="6" w:space="0" w:color="000000"/>
              <w:left w:val="single" w:sz="2" w:space="0" w:color="000000"/>
              <w:bottom w:val="single" w:sz="6" w:space="0" w:color="000000"/>
              <w:right w:val="single" w:sz="6" w:space="0" w:color="000000"/>
            </w:tcBorders>
          </w:tcPr>
          <w:p w:rsidR="00BD617F" w:rsidRPr="00543C76" w:rsidRDefault="00BD617F" w:rsidP="00BD617F">
            <w:pPr>
              <w:autoSpaceDE w:val="0"/>
              <w:autoSpaceDN w:val="0"/>
              <w:adjustRightInd w:val="0"/>
              <w:spacing w:after="0" w:line="240" w:lineRule="auto"/>
              <w:jc w:val="right"/>
              <w:rPr>
                <w:rFonts w:ascii="Calibri" w:hAnsi="Calibri" w:cs="Calibri"/>
                <w:color w:val="000000"/>
              </w:rPr>
            </w:pPr>
          </w:p>
        </w:tc>
      </w:tr>
    </w:tbl>
    <w:p w:rsidR="00543C76" w:rsidRDefault="00543C76">
      <w:r>
        <w:br w:type="page"/>
      </w:r>
    </w:p>
    <w:tbl>
      <w:tblPr>
        <w:tblpPr w:leftFromText="180" w:rightFromText="180" w:vertAnchor="page" w:horzAnchor="page" w:tblpX="4198" w:tblpY="1396"/>
        <w:tblW w:w="8858" w:type="dxa"/>
        <w:tblLook w:val="04A0"/>
      </w:tblPr>
      <w:tblGrid>
        <w:gridCol w:w="7071"/>
        <w:gridCol w:w="1787"/>
      </w:tblGrid>
      <w:tr w:rsidR="00794EA9" w:rsidRPr="00287CC8" w:rsidTr="00AB1C3B">
        <w:trPr>
          <w:trHeight w:val="300"/>
        </w:trPr>
        <w:tc>
          <w:tcPr>
            <w:tcW w:w="8858" w:type="dxa"/>
            <w:gridSpan w:val="2"/>
            <w:tcBorders>
              <w:top w:val="nil"/>
              <w:left w:val="nil"/>
              <w:bottom w:val="nil"/>
              <w:right w:val="nil"/>
            </w:tcBorders>
            <w:shd w:val="clear" w:color="auto" w:fill="auto"/>
            <w:noWrap/>
            <w:vAlign w:val="bottom"/>
            <w:hideMark/>
          </w:tcPr>
          <w:p w:rsidR="00794EA9" w:rsidRPr="00287CC8" w:rsidRDefault="00870FD7" w:rsidP="00870FD7">
            <w:pPr>
              <w:spacing w:after="0" w:line="240" w:lineRule="auto"/>
              <w:rPr>
                <w:rFonts w:ascii="Calibri" w:eastAsia="Times New Roman" w:hAnsi="Calibri" w:cs="Times New Roman"/>
                <w:color w:val="000000"/>
              </w:rPr>
            </w:pPr>
            <w:r>
              <w:rPr>
                <w:b/>
              </w:rPr>
              <w:lastRenderedPageBreak/>
              <w:t xml:space="preserve">            </w:t>
            </w:r>
            <w:r w:rsidR="0066724A" w:rsidRPr="00287CC8">
              <w:rPr>
                <w:b/>
              </w:rPr>
              <w:t>Detaile</w:t>
            </w:r>
            <w:r w:rsidR="00287CC8" w:rsidRPr="00287CC8">
              <w:rPr>
                <w:b/>
              </w:rPr>
              <w:t xml:space="preserve">d Expense Report April </w:t>
            </w:r>
            <w:r w:rsidR="0066724A" w:rsidRPr="00287CC8">
              <w:rPr>
                <w:b/>
              </w:rPr>
              <w:t>1, 2014</w:t>
            </w:r>
            <w:r w:rsidR="00287CC8" w:rsidRPr="00287CC8">
              <w:rPr>
                <w:b/>
              </w:rPr>
              <w:t>-September 15, 2014</w:t>
            </w:r>
          </w:p>
        </w:tc>
      </w:tr>
      <w:tr w:rsidR="00794EA9" w:rsidRPr="00287CC8" w:rsidTr="00AB1C3B">
        <w:trPr>
          <w:trHeight w:val="80"/>
        </w:trPr>
        <w:tc>
          <w:tcPr>
            <w:tcW w:w="7071" w:type="dxa"/>
            <w:tcBorders>
              <w:top w:val="nil"/>
              <w:left w:val="nil"/>
              <w:bottom w:val="nil"/>
              <w:right w:val="nil"/>
            </w:tcBorders>
            <w:shd w:val="clear" w:color="auto" w:fill="auto"/>
            <w:noWrap/>
            <w:vAlign w:val="bottom"/>
            <w:hideMark/>
          </w:tcPr>
          <w:p w:rsidR="00794EA9" w:rsidRPr="00287CC8" w:rsidRDefault="00794EA9"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794EA9" w:rsidRPr="00287CC8" w:rsidRDefault="00794EA9"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tbl>
            <w:tblPr>
              <w:tblpPr w:leftFromText="180" w:rightFromText="180" w:vertAnchor="page" w:horzAnchor="page" w:tblpX="3301" w:tblpY="1"/>
              <w:tblOverlap w:val="never"/>
              <w:tblW w:w="6855" w:type="dxa"/>
              <w:tblLook w:val="04A0"/>
            </w:tblPr>
            <w:tblGrid>
              <w:gridCol w:w="5060"/>
              <w:gridCol w:w="1795"/>
            </w:tblGrid>
            <w:tr w:rsidR="00870FD7" w:rsidRPr="00870FD7" w:rsidTr="00870FD7">
              <w:trPr>
                <w:trHeight w:val="300"/>
              </w:trPr>
              <w:tc>
                <w:tcPr>
                  <w:tcW w:w="5060" w:type="dxa"/>
                  <w:tcBorders>
                    <w:top w:val="nil"/>
                    <w:left w:val="nil"/>
                    <w:bottom w:val="single" w:sz="4" w:space="0" w:color="95B3D7"/>
                    <w:right w:val="nil"/>
                  </w:tcBorders>
                  <w:shd w:val="clear" w:color="DBE5F1" w:fill="DBE5F1"/>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Project</w:t>
                  </w:r>
                </w:p>
              </w:tc>
              <w:tc>
                <w:tcPr>
                  <w:tcW w:w="1795" w:type="dxa"/>
                  <w:tcBorders>
                    <w:top w:val="nil"/>
                    <w:left w:val="nil"/>
                    <w:bottom w:val="single" w:sz="4" w:space="0" w:color="95B3D7"/>
                    <w:right w:val="nil"/>
                  </w:tcBorders>
                  <w:shd w:val="clear" w:color="DBE5F1" w:fill="DBE5F1"/>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Cost</w:t>
                  </w:r>
                </w:p>
              </w:tc>
            </w:tr>
            <w:tr w:rsidR="00870FD7" w:rsidRPr="00870FD7" w:rsidTr="00870FD7">
              <w:trPr>
                <w:trHeight w:val="300"/>
              </w:trPr>
              <w:tc>
                <w:tcPr>
                  <w:tcW w:w="5060" w:type="dxa"/>
                  <w:tcBorders>
                    <w:top w:val="nil"/>
                    <w:left w:val="nil"/>
                    <w:bottom w:val="single" w:sz="4" w:space="0" w:color="95B3D7"/>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Boathouse</w:t>
                  </w:r>
                  <w:r w:rsidR="00C24F42">
                    <w:rPr>
                      <w:rFonts w:ascii="Calibri" w:eastAsia="Times New Roman" w:hAnsi="Calibri" w:cs="Times New Roman"/>
                      <w:b/>
                      <w:bCs/>
                      <w:color w:val="000000"/>
                    </w:rPr>
                    <w:t xml:space="preserve"> Project Subtotal</w:t>
                  </w:r>
                </w:p>
              </w:tc>
              <w:tc>
                <w:tcPr>
                  <w:tcW w:w="1795" w:type="dxa"/>
                  <w:tcBorders>
                    <w:top w:val="nil"/>
                    <w:left w:val="nil"/>
                    <w:bottom w:val="single" w:sz="4" w:space="0" w:color="95B3D7"/>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(20,901.60)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Ed Weinstein Architects</w:t>
                  </w:r>
                  <w:r w:rsidR="00C24F42">
                    <w:rPr>
                      <w:rFonts w:ascii="Calibri" w:eastAsia="Times New Roman" w:hAnsi="Calibri" w:cs="Times New Roman"/>
                      <w:b/>
                      <w:bCs/>
                      <w:color w:val="000000"/>
                    </w:rPr>
                    <w:t xml:space="preserve"> Subtotal</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(20,901.60)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Ash Street Plan Review/Meeting with DOT</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(1,113.80)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Boathouse Consultant CV Review</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(262.50)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D21953" w:rsidP="00870FD7">
                  <w:pPr>
                    <w:spacing w:after="0" w:line="240" w:lineRule="auto"/>
                    <w:rPr>
                      <w:rFonts w:ascii="Calibri" w:eastAsia="Times New Roman" w:hAnsi="Calibri" w:cs="Times New Roman"/>
                      <w:color w:val="000000"/>
                    </w:rPr>
                  </w:pPr>
                  <w:r>
                    <w:rPr>
                      <w:rFonts w:ascii="Calibri" w:eastAsia="Times New Roman" w:hAnsi="Calibri" w:cs="Times New Roman"/>
                      <w:color w:val="000000"/>
                    </w:rPr>
                    <w:t>Boathouse Interior Preliminary</w:t>
                  </w:r>
                  <w:r w:rsidR="00870FD7" w:rsidRPr="00870FD7">
                    <w:rPr>
                      <w:rFonts w:ascii="Calibri" w:eastAsia="Times New Roman" w:hAnsi="Calibri" w:cs="Times New Roman"/>
                      <w:color w:val="000000"/>
                    </w:rPr>
                    <w:t xml:space="preserve"> Floor Plans</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(7,283.50)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Boathouse Plans and Cost Estimate</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(8,010.30)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Conceptual Plans - site, elevation, dock</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(4,231.50)</w:t>
                  </w:r>
                </w:p>
              </w:tc>
            </w:tr>
            <w:tr w:rsidR="00870FD7" w:rsidRPr="00870FD7" w:rsidTr="00870FD7">
              <w:trPr>
                <w:trHeight w:val="300"/>
              </w:trPr>
              <w:tc>
                <w:tcPr>
                  <w:tcW w:w="5060" w:type="dxa"/>
                  <w:tcBorders>
                    <w:top w:val="nil"/>
                    <w:left w:val="nil"/>
                    <w:bottom w:val="single" w:sz="4" w:space="0" w:color="95B3D7"/>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Wetland</w:t>
                  </w:r>
                  <w:r w:rsidR="00C24F42">
                    <w:rPr>
                      <w:rFonts w:ascii="Calibri" w:eastAsia="Times New Roman" w:hAnsi="Calibri" w:cs="Times New Roman"/>
                      <w:b/>
                      <w:bCs/>
                      <w:color w:val="000000"/>
                    </w:rPr>
                    <w:t xml:space="preserve"> Project Subtotal</w:t>
                  </w:r>
                </w:p>
              </w:tc>
              <w:tc>
                <w:tcPr>
                  <w:tcW w:w="1795" w:type="dxa"/>
                  <w:tcBorders>
                    <w:top w:val="nil"/>
                    <w:left w:val="nil"/>
                    <w:bottom w:val="single" w:sz="4" w:space="0" w:color="95B3D7"/>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(50,732.61)</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Blue Classroom</w:t>
                  </w:r>
                  <w:r w:rsidR="00C24F42">
                    <w:rPr>
                      <w:rFonts w:ascii="Calibri" w:eastAsia="Times New Roman" w:hAnsi="Calibri" w:cs="Times New Roman"/>
                      <w:b/>
                      <w:bCs/>
                      <w:color w:val="000000"/>
                    </w:rPr>
                    <w:t xml:space="preserve"> Subtotal</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(3,952.08)</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24' Workboat 14 hours </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(1,750.00)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Workboat Site Surveys</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(2,202.08)</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Hammersmith LLC</w:t>
                  </w:r>
                  <w:r w:rsidR="00C24F42">
                    <w:rPr>
                      <w:rFonts w:ascii="Calibri" w:eastAsia="Times New Roman" w:hAnsi="Calibri" w:cs="Times New Roman"/>
                      <w:b/>
                      <w:bCs/>
                      <w:color w:val="000000"/>
                    </w:rPr>
                    <w:t xml:space="preserve"> Subtotal</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(27,525.00)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Stainless Steel Wetland Frames Deposit (50%)</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(13,762.50)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Wetland Frame balance</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(13,762.50)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Millers Launch</w:t>
                  </w:r>
                  <w:r w:rsidR="00C24F42">
                    <w:rPr>
                      <w:rFonts w:ascii="Calibri" w:eastAsia="Times New Roman" w:hAnsi="Calibri" w:cs="Times New Roman"/>
                      <w:b/>
                      <w:bCs/>
                      <w:color w:val="000000"/>
                    </w:rPr>
                    <w:t xml:space="preserve"> Subtotal</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(2,475.00)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33 Foot Workboat Surveys</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(2,475.00)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ONY</w:t>
                  </w:r>
                  <w:r w:rsidR="00C24F42">
                    <w:rPr>
                      <w:rFonts w:ascii="Calibri" w:eastAsia="Times New Roman" w:hAnsi="Calibri" w:cs="Times New Roman"/>
                      <w:b/>
                      <w:bCs/>
                      <w:color w:val="000000"/>
                    </w:rPr>
                    <w:t xml:space="preserve"> Subtotal</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(16,632.03)</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Advance for Phase 2 Supplies</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(7,000.00)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Frame Installation/Labor </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(2,357.78)</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Phase 2 Install </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(2,829.75)</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Phase 2 Install/Admin</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(495.00)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Project Management/Phase 2 Procurement</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(1,706.25)</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Supplies and Frame Installation</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(2,243.25)</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Parks Dept</w:t>
                  </w:r>
                  <w:r w:rsidR="00C24F42">
                    <w:rPr>
                      <w:rFonts w:ascii="Calibri" w:eastAsia="Times New Roman" w:hAnsi="Calibri" w:cs="Times New Roman"/>
                      <w:b/>
                      <w:bCs/>
                      <w:color w:val="000000"/>
                    </w:rPr>
                    <w:t xml:space="preserve"> Subtotal</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(148.50)</w:t>
                  </w:r>
                </w:p>
              </w:tc>
            </w:tr>
            <w:tr w:rsidR="00870FD7" w:rsidRPr="00870FD7" w:rsidTr="00870FD7">
              <w:trPr>
                <w:trHeight w:val="300"/>
              </w:trPr>
              <w:tc>
                <w:tcPr>
                  <w:tcW w:w="5060"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Native Wetland Plants</w:t>
                  </w:r>
                </w:p>
              </w:tc>
              <w:tc>
                <w:tcPr>
                  <w:tcW w:w="1795"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r w:rsidRPr="00870FD7">
                    <w:rPr>
                      <w:rFonts w:ascii="Calibri" w:eastAsia="Times New Roman" w:hAnsi="Calibri" w:cs="Times New Roman"/>
                      <w:color w:val="000000"/>
                    </w:rPr>
                    <w:t xml:space="preserve"> $       (148.50)</w:t>
                  </w:r>
                </w:p>
              </w:tc>
            </w:tr>
            <w:tr w:rsidR="00870FD7" w:rsidRPr="00870FD7" w:rsidTr="00870FD7">
              <w:trPr>
                <w:trHeight w:val="300"/>
              </w:trPr>
              <w:tc>
                <w:tcPr>
                  <w:tcW w:w="5060" w:type="dxa"/>
                  <w:tcBorders>
                    <w:top w:val="single" w:sz="4" w:space="0" w:color="95B3D7"/>
                    <w:left w:val="nil"/>
                    <w:bottom w:val="nil"/>
                    <w:right w:val="nil"/>
                  </w:tcBorders>
                  <w:shd w:val="clear" w:color="DBE5F1" w:fill="DBE5F1"/>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Total</w:t>
                  </w:r>
                  <w:r w:rsidR="00C24F42">
                    <w:rPr>
                      <w:rFonts w:ascii="Calibri" w:eastAsia="Times New Roman" w:hAnsi="Calibri" w:cs="Times New Roman"/>
                      <w:b/>
                      <w:bCs/>
                      <w:color w:val="000000"/>
                    </w:rPr>
                    <w:t xml:space="preserve"> Expense by Period</w:t>
                  </w:r>
                </w:p>
              </w:tc>
              <w:tc>
                <w:tcPr>
                  <w:tcW w:w="1795" w:type="dxa"/>
                  <w:tcBorders>
                    <w:top w:val="single" w:sz="4" w:space="0" w:color="95B3D7"/>
                    <w:left w:val="nil"/>
                    <w:bottom w:val="nil"/>
                    <w:right w:val="nil"/>
                  </w:tcBorders>
                  <w:shd w:val="clear" w:color="DBE5F1" w:fill="DBE5F1"/>
                  <w:noWrap/>
                  <w:vAlign w:val="bottom"/>
                  <w:hideMark/>
                </w:tcPr>
                <w:p w:rsidR="00870FD7" w:rsidRPr="00870FD7" w:rsidRDefault="00870FD7" w:rsidP="00870FD7">
                  <w:pPr>
                    <w:spacing w:after="0" w:line="240" w:lineRule="auto"/>
                    <w:rPr>
                      <w:rFonts w:ascii="Calibri" w:eastAsia="Times New Roman" w:hAnsi="Calibri" w:cs="Times New Roman"/>
                      <w:b/>
                      <w:bCs/>
                      <w:color w:val="000000"/>
                    </w:rPr>
                  </w:pPr>
                  <w:r w:rsidRPr="00870FD7">
                    <w:rPr>
                      <w:rFonts w:ascii="Calibri" w:eastAsia="Times New Roman" w:hAnsi="Calibri" w:cs="Times New Roman"/>
                      <w:b/>
                      <w:bCs/>
                      <w:color w:val="000000"/>
                    </w:rPr>
                    <w:t xml:space="preserve"> $ (71,634.21)</w:t>
                  </w:r>
                </w:p>
              </w:tc>
            </w:tr>
          </w:tbl>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80"/>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r w:rsidR="00870FD7" w:rsidRPr="00870FD7" w:rsidTr="00AB1C3B">
        <w:trPr>
          <w:trHeight w:val="168"/>
        </w:trPr>
        <w:tc>
          <w:tcPr>
            <w:tcW w:w="7071"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c>
          <w:tcPr>
            <w:tcW w:w="1787" w:type="dxa"/>
            <w:tcBorders>
              <w:top w:val="nil"/>
              <w:left w:val="nil"/>
              <w:bottom w:val="nil"/>
              <w:right w:val="nil"/>
            </w:tcBorders>
            <w:shd w:val="clear" w:color="auto" w:fill="auto"/>
            <w:noWrap/>
            <w:vAlign w:val="bottom"/>
            <w:hideMark/>
          </w:tcPr>
          <w:p w:rsidR="00870FD7" w:rsidRPr="00870FD7" w:rsidRDefault="00870FD7" w:rsidP="00870FD7">
            <w:pPr>
              <w:spacing w:after="0" w:line="240" w:lineRule="auto"/>
              <w:rPr>
                <w:rFonts w:ascii="Calibri" w:eastAsia="Times New Roman" w:hAnsi="Calibri" w:cs="Times New Roman"/>
                <w:color w:val="000000"/>
              </w:rPr>
            </w:pPr>
          </w:p>
        </w:tc>
      </w:tr>
    </w:tbl>
    <w:p w:rsidR="00870FD7" w:rsidRDefault="00870FD7" w:rsidP="00870FD7"/>
    <w:sectPr w:rsidR="00870FD7" w:rsidSect="00870FD7">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42" w:rsidRDefault="00C24F42" w:rsidP="00C70555">
      <w:pPr>
        <w:spacing w:after="0" w:line="240" w:lineRule="auto"/>
      </w:pPr>
      <w:r>
        <w:separator/>
      </w:r>
    </w:p>
  </w:endnote>
  <w:endnote w:type="continuationSeparator" w:id="0">
    <w:p w:rsidR="00C24F42" w:rsidRDefault="00C24F42" w:rsidP="00C70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26672"/>
      <w:docPartObj>
        <w:docPartGallery w:val="Page Numbers (Bottom of Page)"/>
        <w:docPartUnique/>
      </w:docPartObj>
    </w:sdtPr>
    <w:sdtContent>
      <w:p w:rsidR="00C24F42" w:rsidRDefault="004C3513">
        <w:pPr>
          <w:pStyle w:val="Footer"/>
          <w:jc w:val="center"/>
        </w:pPr>
        <w:fldSimple w:instr=" PAGE   \* MERGEFORMAT ">
          <w:r w:rsidR="005C716E">
            <w:rPr>
              <w:noProof/>
            </w:rPr>
            <w:t>2</w:t>
          </w:r>
        </w:fldSimple>
      </w:p>
    </w:sdtContent>
  </w:sdt>
  <w:p w:rsidR="00C24F42" w:rsidRDefault="00C24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42" w:rsidRDefault="00C24F42" w:rsidP="00C70555">
      <w:pPr>
        <w:spacing w:after="0" w:line="240" w:lineRule="auto"/>
      </w:pPr>
      <w:r>
        <w:separator/>
      </w:r>
    </w:p>
  </w:footnote>
  <w:footnote w:type="continuationSeparator" w:id="0">
    <w:p w:rsidR="00C24F42" w:rsidRDefault="00C24F42" w:rsidP="00C70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066E9"/>
    <w:multiLevelType w:val="multilevel"/>
    <w:tmpl w:val="B14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67B4"/>
    <w:rsid w:val="00002B6F"/>
    <w:rsid w:val="00017833"/>
    <w:rsid w:val="000433EC"/>
    <w:rsid w:val="000824C1"/>
    <w:rsid w:val="000C21D3"/>
    <w:rsid w:val="00112235"/>
    <w:rsid w:val="00156BCD"/>
    <w:rsid w:val="00183B50"/>
    <w:rsid w:val="001B026F"/>
    <w:rsid w:val="001D4591"/>
    <w:rsid w:val="001E2094"/>
    <w:rsid w:val="001E67B4"/>
    <w:rsid w:val="00276478"/>
    <w:rsid w:val="002828D9"/>
    <w:rsid w:val="00287CC8"/>
    <w:rsid w:val="002C120B"/>
    <w:rsid w:val="002D2423"/>
    <w:rsid w:val="002D42DC"/>
    <w:rsid w:val="002E1662"/>
    <w:rsid w:val="0030424A"/>
    <w:rsid w:val="00315CD1"/>
    <w:rsid w:val="003A11B2"/>
    <w:rsid w:val="003A7C86"/>
    <w:rsid w:val="003D5B06"/>
    <w:rsid w:val="00411CA3"/>
    <w:rsid w:val="0043669E"/>
    <w:rsid w:val="00446B32"/>
    <w:rsid w:val="00464FED"/>
    <w:rsid w:val="00481511"/>
    <w:rsid w:val="004C3513"/>
    <w:rsid w:val="005115C0"/>
    <w:rsid w:val="00511EF6"/>
    <w:rsid w:val="00543C76"/>
    <w:rsid w:val="00574A61"/>
    <w:rsid w:val="0058220D"/>
    <w:rsid w:val="005A0200"/>
    <w:rsid w:val="005C5212"/>
    <w:rsid w:val="005C716E"/>
    <w:rsid w:val="005E7CCD"/>
    <w:rsid w:val="00613AEC"/>
    <w:rsid w:val="006641D8"/>
    <w:rsid w:val="0066724A"/>
    <w:rsid w:val="00670B84"/>
    <w:rsid w:val="006B01A9"/>
    <w:rsid w:val="006C26F9"/>
    <w:rsid w:val="007125DF"/>
    <w:rsid w:val="00794EA9"/>
    <w:rsid w:val="007A6577"/>
    <w:rsid w:val="007D6850"/>
    <w:rsid w:val="00821CCC"/>
    <w:rsid w:val="00864D43"/>
    <w:rsid w:val="00870FD7"/>
    <w:rsid w:val="00885DD1"/>
    <w:rsid w:val="008A26AB"/>
    <w:rsid w:val="008C5C62"/>
    <w:rsid w:val="008C776D"/>
    <w:rsid w:val="009331D6"/>
    <w:rsid w:val="00977ABB"/>
    <w:rsid w:val="00984800"/>
    <w:rsid w:val="009B60DD"/>
    <w:rsid w:val="009E16EB"/>
    <w:rsid w:val="009F3C14"/>
    <w:rsid w:val="00A32DBD"/>
    <w:rsid w:val="00A45F2B"/>
    <w:rsid w:val="00A74EF1"/>
    <w:rsid w:val="00A92244"/>
    <w:rsid w:val="00AB1C3B"/>
    <w:rsid w:val="00AC5497"/>
    <w:rsid w:val="00B07038"/>
    <w:rsid w:val="00B12B7E"/>
    <w:rsid w:val="00B41831"/>
    <w:rsid w:val="00B50ACE"/>
    <w:rsid w:val="00B73EA9"/>
    <w:rsid w:val="00B90B84"/>
    <w:rsid w:val="00BD617F"/>
    <w:rsid w:val="00BF450A"/>
    <w:rsid w:val="00C24F42"/>
    <w:rsid w:val="00C70555"/>
    <w:rsid w:val="00CC3537"/>
    <w:rsid w:val="00CD1344"/>
    <w:rsid w:val="00CF4C9E"/>
    <w:rsid w:val="00D21953"/>
    <w:rsid w:val="00D231E5"/>
    <w:rsid w:val="00D96436"/>
    <w:rsid w:val="00DB2143"/>
    <w:rsid w:val="00DE0A40"/>
    <w:rsid w:val="00E16D6B"/>
    <w:rsid w:val="00E37C35"/>
    <w:rsid w:val="00E67AC3"/>
    <w:rsid w:val="00E70E11"/>
    <w:rsid w:val="00EA2254"/>
    <w:rsid w:val="00EA246C"/>
    <w:rsid w:val="00EC6337"/>
    <w:rsid w:val="00F02B38"/>
    <w:rsid w:val="00F209B5"/>
    <w:rsid w:val="00F228D6"/>
    <w:rsid w:val="00F23E3F"/>
    <w:rsid w:val="00F31619"/>
    <w:rsid w:val="00F72B38"/>
    <w:rsid w:val="00F83AC9"/>
    <w:rsid w:val="00F91E58"/>
    <w:rsid w:val="00FB7B67"/>
    <w:rsid w:val="00FE7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05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555"/>
  </w:style>
  <w:style w:type="paragraph" w:styleId="Footer">
    <w:name w:val="footer"/>
    <w:basedOn w:val="Normal"/>
    <w:link w:val="FooterChar"/>
    <w:uiPriority w:val="99"/>
    <w:unhideWhenUsed/>
    <w:rsid w:val="00C7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555"/>
  </w:style>
  <w:style w:type="paragraph" w:styleId="BalloonText">
    <w:name w:val="Balloon Text"/>
    <w:basedOn w:val="Normal"/>
    <w:link w:val="BalloonTextChar"/>
    <w:uiPriority w:val="99"/>
    <w:semiHidden/>
    <w:unhideWhenUsed/>
    <w:rsid w:val="0079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A9"/>
    <w:rPr>
      <w:rFonts w:ascii="Tahoma" w:hAnsi="Tahoma" w:cs="Tahoma"/>
      <w:sz w:val="16"/>
      <w:szCs w:val="16"/>
    </w:rPr>
  </w:style>
  <w:style w:type="character" w:styleId="Hyperlink">
    <w:name w:val="Hyperlink"/>
    <w:basedOn w:val="DefaultParagraphFont"/>
    <w:uiPriority w:val="99"/>
    <w:unhideWhenUsed/>
    <w:rsid w:val="001122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771">
      <w:bodyDiv w:val="1"/>
      <w:marLeft w:val="0"/>
      <w:marRight w:val="0"/>
      <w:marTop w:val="0"/>
      <w:marBottom w:val="0"/>
      <w:divBdr>
        <w:top w:val="none" w:sz="0" w:space="0" w:color="auto"/>
        <w:left w:val="none" w:sz="0" w:space="0" w:color="auto"/>
        <w:bottom w:val="none" w:sz="0" w:space="0" w:color="auto"/>
        <w:right w:val="none" w:sz="0" w:space="0" w:color="auto"/>
      </w:divBdr>
    </w:div>
    <w:div w:id="38749915">
      <w:bodyDiv w:val="1"/>
      <w:marLeft w:val="0"/>
      <w:marRight w:val="0"/>
      <w:marTop w:val="0"/>
      <w:marBottom w:val="0"/>
      <w:divBdr>
        <w:top w:val="none" w:sz="0" w:space="0" w:color="auto"/>
        <w:left w:val="none" w:sz="0" w:space="0" w:color="auto"/>
        <w:bottom w:val="none" w:sz="0" w:space="0" w:color="auto"/>
        <w:right w:val="none" w:sz="0" w:space="0" w:color="auto"/>
      </w:divBdr>
    </w:div>
    <w:div w:id="41251131">
      <w:bodyDiv w:val="1"/>
      <w:marLeft w:val="0"/>
      <w:marRight w:val="0"/>
      <w:marTop w:val="0"/>
      <w:marBottom w:val="0"/>
      <w:divBdr>
        <w:top w:val="none" w:sz="0" w:space="0" w:color="auto"/>
        <w:left w:val="none" w:sz="0" w:space="0" w:color="auto"/>
        <w:bottom w:val="none" w:sz="0" w:space="0" w:color="auto"/>
        <w:right w:val="none" w:sz="0" w:space="0" w:color="auto"/>
      </w:divBdr>
    </w:div>
    <w:div w:id="143356485">
      <w:bodyDiv w:val="1"/>
      <w:marLeft w:val="0"/>
      <w:marRight w:val="0"/>
      <w:marTop w:val="0"/>
      <w:marBottom w:val="0"/>
      <w:divBdr>
        <w:top w:val="none" w:sz="0" w:space="0" w:color="auto"/>
        <w:left w:val="none" w:sz="0" w:space="0" w:color="auto"/>
        <w:bottom w:val="none" w:sz="0" w:space="0" w:color="auto"/>
        <w:right w:val="none" w:sz="0" w:space="0" w:color="auto"/>
      </w:divBdr>
    </w:div>
    <w:div w:id="164979055">
      <w:bodyDiv w:val="1"/>
      <w:marLeft w:val="0"/>
      <w:marRight w:val="0"/>
      <w:marTop w:val="0"/>
      <w:marBottom w:val="0"/>
      <w:divBdr>
        <w:top w:val="none" w:sz="0" w:space="0" w:color="auto"/>
        <w:left w:val="none" w:sz="0" w:space="0" w:color="auto"/>
        <w:bottom w:val="none" w:sz="0" w:space="0" w:color="auto"/>
        <w:right w:val="none" w:sz="0" w:space="0" w:color="auto"/>
      </w:divBdr>
    </w:div>
    <w:div w:id="171991783">
      <w:bodyDiv w:val="1"/>
      <w:marLeft w:val="0"/>
      <w:marRight w:val="0"/>
      <w:marTop w:val="0"/>
      <w:marBottom w:val="0"/>
      <w:divBdr>
        <w:top w:val="none" w:sz="0" w:space="0" w:color="auto"/>
        <w:left w:val="none" w:sz="0" w:space="0" w:color="auto"/>
        <w:bottom w:val="none" w:sz="0" w:space="0" w:color="auto"/>
        <w:right w:val="none" w:sz="0" w:space="0" w:color="auto"/>
      </w:divBdr>
    </w:div>
    <w:div w:id="245841773">
      <w:bodyDiv w:val="1"/>
      <w:marLeft w:val="0"/>
      <w:marRight w:val="0"/>
      <w:marTop w:val="0"/>
      <w:marBottom w:val="0"/>
      <w:divBdr>
        <w:top w:val="none" w:sz="0" w:space="0" w:color="auto"/>
        <w:left w:val="none" w:sz="0" w:space="0" w:color="auto"/>
        <w:bottom w:val="none" w:sz="0" w:space="0" w:color="auto"/>
        <w:right w:val="none" w:sz="0" w:space="0" w:color="auto"/>
      </w:divBdr>
    </w:div>
    <w:div w:id="293607714">
      <w:bodyDiv w:val="1"/>
      <w:marLeft w:val="0"/>
      <w:marRight w:val="0"/>
      <w:marTop w:val="0"/>
      <w:marBottom w:val="0"/>
      <w:divBdr>
        <w:top w:val="none" w:sz="0" w:space="0" w:color="auto"/>
        <w:left w:val="none" w:sz="0" w:space="0" w:color="auto"/>
        <w:bottom w:val="none" w:sz="0" w:space="0" w:color="auto"/>
        <w:right w:val="none" w:sz="0" w:space="0" w:color="auto"/>
      </w:divBdr>
    </w:div>
    <w:div w:id="353577887">
      <w:bodyDiv w:val="1"/>
      <w:marLeft w:val="0"/>
      <w:marRight w:val="0"/>
      <w:marTop w:val="0"/>
      <w:marBottom w:val="0"/>
      <w:divBdr>
        <w:top w:val="none" w:sz="0" w:space="0" w:color="auto"/>
        <w:left w:val="none" w:sz="0" w:space="0" w:color="auto"/>
        <w:bottom w:val="none" w:sz="0" w:space="0" w:color="auto"/>
        <w:right w:val="none" w:sz="0" w:space="0" w:color="auto"/>
      </w:divBdr>
    </w:div>
    <w:div w:id="369307142">
      <w:bodyDiv w:val="1"/>
      <w:marLeft w:val="0"/>
      <w:marRight w:val="0"/>
      <w:marTop w:val="0"/>
      <w:marBottom w:val="0"/>
      <w:divBdr>
        <w:top w:val="none" w:sz="0" w:space="0" w:color="auto"/>
        <w:left w:val="none" w:sz="0" w:space="0" w:color="auto"/>
        <w:bottom w:val="none" w:sz="0" w:space="0" w:color="auto"/>
        <w:right w:val="none" w:sz="0" w:space="0" w:color="auto"/>
      </w:divBdr>
    </w:div>
    <w:div w:id="404498998">
      <w:bodyDiv w:val="1"/>
      <w:marLeft w:val="0"/>
      <w:marRight w:val="0"/>
      <w:marTop w:val="0"/>
      <w:marBottom w:val="0"/>
      <w:divBdr>
        <w:top w:val="none" w:sz="0" w:space="0" w:color="auto"/>
        <w:left w:val="none" w:sz="0" w:space="0" w:color="auto"/>
        <w:bottom w:val="none" w:sz="0" w:space="0" w:color="auto"/>
        <w:right w:val="none" w:sz="0" w:space="0" w:color="auto"/>
      </w:divBdr>
    </w:div>
    <w:div w:id="473834700">
      <w:bodyDiv w:val="1"/>
      <w:marLeft w:val="0"/>
      <w:marRight w:val="0"/>
      <w:marTop w:val="0"/>
      <w:marBottom w:val="0"/>
      <w:divBdr>
        <w:top w:val="none" w:sz="0" w:space="0" w:color="auto"/>
        <w:left w:val="none" w:sz="0" w:space="0" w:color="auto"/>
        <w:bottom w:val="none" w:sz="0" w:space="0" w:color="auto"/>
        <w:right w:val="none" w:sz="0" w:space="0" w:color="auto"/>
      </w:divBdr>
    </w:div>
    <w:div w:id="505052162">
      <w:bodyDiv w:val="1"/>
      <w:marLeft w:val="0"/>
      <w:marRight w:val="0"/>
      <w:marTop w:val="0"/>
      <w:marBottom w:val="0"/>
      <w:divBdr>
        <w:top w:val="none" w:sz="0" w:space="0" w:color="auto"/>
        <w:left w:val="none" w:sz="0" w:space="0" w:color="auto"/>
        <w:bottom w:val="none" w:sz="0" w:space="0" w:color="auto"/>
        <w:right w:val="none" w:sz="0" w:space="0" w:color="auto"/>
      </w:divBdr>
    </w:div>
    <w:div w:id="542061918">
      <w:bodyDiv w:val="1"/>
      <w:marLeft w:val="0"/>
      <w:marRight w:val="0"/>
      <w:marTop w:val="0"/>
      <w:marBottom w:val="0"/>
      <w:divBdr>
        <w:top w:val="none" w:sz="0" w:space="0" w:color="auto"/>
        <w:left w:val="none" w:sz="0" w:space="0" w:color="auto"/>
        <w:bottom w:val="none" w:sz="0" w:space="0" w:color="auto"/>
        <w:right w:val="none" w:sz="0" w:space="0" w:color="auto"/>
      </w:divBdr>
    </w:div>
    <w:div w:id="616912114">
      <w:bodyDiv w:val="1"/>
      <w:marLeft w:val="0"/>
      <w:marRight w:val="0"/>
      <w:marTop w:val="0"/>
      <w:marBottom w:val="0"/>
      <w:divBdr>
        <w:top w:val="none" w:sz="0" w:space="0" w:color="auto"/>
        <w:left w:val="none" w:sz="0" w:space="0" w:color="auto"/>
        <w:bottom w:val="none" w:sz="0" w:space="0" w:color="auto"/>
        <w:right w:val="none" w:sz="0" w:space="0" w:color="auto"/>
      </w:divBdr>
    </w:div>
    <w:div w:id="671568146">
      <w:bodyDiv w:val="1"/>
      <w:marLeft w:val="0"/>
      <w:marRight w:val="0"/>
      <w:marTop w:val="0"/>
      <w:marBottom w:val="0"/>
      <w:divBdr>
        <w:top w:val="none" w:sz="0" w:space="0" w:color="auto"/>
        <w:left w:val="none" w:sz="0" w:space="0" w:color="auto"/>
        <w:bottom w:val="none" w:sz="0" w:space="0" w:color="auto"/>
        <w:right w:val="none" w:sz="0" w:space="0" w:color="auto"/>
      </w:divBdr>
    </w:div>
    <w:div w:id="676427910">
      <w:bodyDiv w:val="1"/>
      <w:marLeft w:val="0"/>
      <w:marRight w:val="0"/>
      <w:marTop w:val="0"/>
      <w:marBottom w:val="0"/>
      <w:divBdr>
        <w:top w:val="none" w:sz="0" w:space="0" w:color="auto"/>
        <w:left w:val="none" w:sz="0" w:space="0" w:color="auto"/>
        <w:bottom w:val="none" w:sz="0" w:space="0" w:color="auto"/>
        <w:right w:val="none" w:sz="0" w:space="0" w:color="auto"/>
      </w:divBdr>
    </w:div>
    <w:div w:id="917249635">
      <w:bodyDiv w:val="1"/>
      <w:marLeft w:val="0"/>
      <w:marRight w:val="0"/>
      <w:marTop w:val="0"/>
      <w:marBottom w:val="0"/>
      <w:divBdr>
        <w:top w:val="none" w:sz="0" w:space="0" w:color="auto"/>
        <w:left w:val="none" w:sz="0" w:space="0" w:color="auto"/>
        <w:bottom w:val="none" w:sz="0" w:space="0" w:color="auto"/>
        <w:right w:val="none" w:sz="0" w:space="0" w:color="auto"/>
      </w:divBdr>
    </w:div>
    <w:div w:id="996112983">
      <w:bodyDiv w:val="1"/>
      <w:marLeft w:val="0"/>
      <w:marRight w:val="0"/>
      <w:marTop w:val="0"/>
      <w:marBottom w:val="0"/>
      <w:divBdr>
        <w:top w:val="none" w:sz="0" w:space="0" w:color="auto"/>
        <w:left w:val="none" w:sz="0" w:space="0" w:color="auto"/>
        <w:bottom w:val="none" w:sz="0" w:space="0" w:color="auto"/>
        <w:right w:val="none" w:sz="0" w:space="0" w:color="auto"/>
      </w:divBdr>
    </w:div>
    <w:div w:id="1147627186">
      <w:bodyDiv w:val="1"/>
      <w:marLeft w:val="0"/>
      <w:marRight w:val="0"/>
      <w:marTop w:val="0"/>
      <w:marBottom w:val="0"/>
      <w:divBdr>
        <w:top w:val="none" w:sz="0" w:space="0" w:color="auto"/>
        <w:left w:val="none" w:sz="0" w:space="0" w:color="auto"/>
        <w:bottom w:val="none" w:sz="0" w:space="0" w:color="auto"/>
        <w:right w:val="none" w:sz="0" w:space="0" w:color="auto"/>
      </w:divBdr>
    </w:div>
    <w:div w:id="1174609650">
      <w:bodyDiv w:val="1"/>
      <w:marLeft w:val="0"/>
      <w:marRight w:val="0"/>
      <w:marTop w:val="0"/>
      <w:marBottom w:val="0"/>
      <w:divBdr>
        <w:top w:val="none" w:sz="0" w:space="0" w:color="auto"/>
        <w:left w:val="none" w:sz="0" w:space="0" w:color="auto"/>
        <w:bottom w:val="none" w:sz="0" w:space="0" w:color="auto"/>
        <w:right w:val="none" w:sz="0" w:space="0" w:color="auto"/>
      </w:divBdr>
    </w:div>
    <w:div w:id="1365211010">
      <w:bodyDiv w:val="1"/>
      <w:marLeft w:val="0"/>
      <w:marRight w:val="0"/>
      <w:marTop w:val="0"/>
      <w:marBottom w:val="0"/>
      <w:divBdr>
        <w:top w:val="none" w:sz="0" w:space="0" w:color="auto"/>
        <w:left w:val="none" w:sz="0" w:space="0" w:color="auto"/>
        <w:bottom w:val="none" w:sz="0" w:space="0" w:color="auto"/>
        <w:right w:val="none" w:sz="0" w:space="0" w:color="auto"/>
      </w:divBdr>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
    <w:div w:id="1409883723">
      <w:bodyDiv w:val="1"/>
      <w:marLeft w:val="0"/>
      <w:marRight w:val="0"/>
      <w:marTop w:val="0"/>
      <w:marBottom w:val="0"/>
      <w:divBdr>
        <w:top w:val="none" w:sz="0" w:space="0" w:color="auto"/>
        <w:left w:val="none" w:sz="0" w:space="0" w:color="auto"/>
        <w:bottom w:val="none" w:sz="0" w:space="0" w:color="auto"/>
        <w:right w:val="none" w:sz="0" w:space="0" w:color="auto"/>
      </w:divBdr>
    </w:div>
    <w:div w:id="1443921096">
      <w:bodyDiv w:val="1"/>
      <w:marLeft w:val="0"/>
      <w:marRight w:val="0"/>
      <w:marTop w:val="0"/>
      <w:marBottom w:val="0"/>
      <w:divBdr>
        <w:top w:val="none" w:sz="0" w:space="0" w:color="auto"/>
        <w:left w:val="none" w:sz="0" w:space="0" w:color="auto"/>
        <w:bottom w:val="none" w:sz="0" w:space="0" w:color="auto"/>
        <w:right w:val="none" w:sz="0" w:space="0" w:color="auto"/>
      </w:divBdr>
    </w:div>
    <w:div w:id="1830631454">
      <w:bodyDiv w:val="1"/>
      <w:marLeft w:val="0"/>
      <w:marRight w:val="0"/>
      <w:marTop w:val="0"/>
      <w:marBottom w:val="0"/>
      <w:divBdr>
        <w:top w:val="none" w:sz="0" w:space="0" w:color="auto"/>
        <w:left w:val="none" w:sz="0" w:space="0" w:color="auto"/>
        <w:bottom w:val="none" w:sz="0" w:space="0" w:color="auto"/>
        <w:right w:val="none" w:sz="0" w:space="0" w:color="auto"/>
      </w:divBdr>
    </w:div>
    <w:div w:id="1989623210">
      <w:bodyDiv w:val="1"/>
      <w:marLeft w:val="0"/>
      <w:marRight w:val="0"/>
      <w:marTop w:val="0"/>
      <w:marBottom w:val="0"/>
      <w:divBdr>
        <w:top w:val="none" w:sz="0" w:space="0" w:color="auto"/>
        <w:left w:val="none" w:sz="0" w:space="0" w:color="auto"/>
        <w:bottom w:val="none" w:sz="0" w:space="0" w:color="auto"/>
        <w:right w:val="none" w:sz="0" w:space="0" w:color="auto"/>
      </w:divBdr>
    </w:div>
    <w:div w:id="21175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6BB206D-6BE3-4339-BB54-989FAE43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NYCDPR</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anthony.tiarsmith</dc:creator>
  <cp:lastModifiedBy>Anthony.Tiarsmith</cp:lastModifiedBy>
  <cp:revision>2</cp:revision>
  <cp:lastPrinted>2014-09-16T15:06:00Z</cp:lastPrinted>
  <dcterms:created xsi:type="dcterms:W3CDTF">2014-09-17T15:50:00Z</dcterms:created>
  <dcterms:modified xsi:type="dcterms:W3CDTF">2014-09-17T15:50:00Z</dcterms:modified>
</cp:coreProperties>
</file>